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4D58" w14:textId="6FAF4349" w:rsidR="00F6141F" w:rsidRPr="00F6141F" w:rsidRDefault="00F6141F" w:rsidP="00F614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52"/>
          <w:szCs w:val="52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en-IN"/>
          <w14:ligatures w14:val="none"/>
        </w:rPr>
        <w:t>Product Market Evolution Matrix</w:t>
      </w:r>
    </w:p>
    <w:p w14:paraId="0D3D6203" w14:textId="767E6A3B" w:rsidR="00F6141F" w:rsidRDefault="00F6141F" w:rsidP="00F614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 xml:space="preserve"> Srinibash Dash</w:t>
      </w:r>
    </w:p>
    <w:p w14:paraId="06E5D480" w14:textId="77777777" w:rsidR="00F6141F" w:rsidRDefault="00F6141F" w:rsidP="00F614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Associate Professor &amp; Head</w:t>
      </w:r>
    </w:p>
    <w:p w14:paraId="3A15E9F3" w14:textId="77777777" w:rsidR="00F6141F" w:rsidRDefault="00F6141F" w:rsidP="00F614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 xml:space="preserve">School of Management, </w: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D2A3" wp14:editId="67E99C5E">
                <wp:simplePos x="0" y="0"/>
                <wp:positionH relativeFrom="column">
                  <wp:posOffset>-800100</wp:posOffset>
                </wp:positionH>
                <wp:positionV relativeFrom="paragraph">
                  <wp:posOffset>441960</wp:posOffset>
                </wp:positionV>
                <wp:extent cx="7400925" cy="114300"/>
                <wp:effectExtent l="0" t="0" r="28575" b="19050"/>
                <wp:wrapNone/>
                <wp:docPr id="363525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E99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4.8pt" to="519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" strokecolor="#70ad47 [3209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GMU, SBP</w:t>
      </w:r>
    </w:p>
    <w:p w14:paraId="0B8E9EDF" w14:textId="77777777" w:rsidR="00F6141F" w:rsidRPr="00F6141F" w:rsidRDefault="00F6141F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462320A" w14:textId="70D08BC3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Study Materials on Strategic Tools: Product Market Evolution Matrix, Experience Curve, Directional Policy Matrix, Life Cycle Portfolio Matrix, and Grand Strategy Selection Matrix</w:t>
      </w:r>
    </w:p>
    <w:p w14:paraId="36266E6B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B747807">
          <v:rect id="_x0000_i1025" style="width:0;height:1.5pt" o:hralign="center" o:hrstd="t" o:hr="t" fillcolor="#a0a0a0" stroked="f"/>
        </w:pict>
      </w:r>
    </w:p>
    <w:p w14:paraId="7B66CEF7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 Product Market Evolution Matrix</w:t>
      </w:r>
    </w:p>
    <w:p w14:paraId="321EE09A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Product Market Evolution Matrix is a tool used to </w:t>
      </w:r>
      <w:proofErr w:type="spellStart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stages of a product’s life in relation to market development. It helps strategists decide on growth opportunities and appropriate resource allocation.</w:t>
      </w:r>
    </w:p>
    <w:p w14:paraId="659B4BFC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Elements:</w:t>
      </w:r>
    </w:p>
    <w:p w14:paraId="11BEECCC" w14:textId="77777777" w:rsidR="009C6A9A" w:rsidRPr="00F6141F" w:rsidRDefault="009C6A9A" w:rsidP="00F614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Development Stages: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Emerging, Growth, Maturity, Saturation, Decline.</w:t>
      </w:r>
    </w:p>
    <w:p w14:paraId="648F1750" w14:textId="77777777" w:rsidR="009C6A9A" w:rsidRPr="00F6141F" w:rsidRDefault="009C6A9A" w:rsidP="00F614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Product Evolution Stages: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Introduction, Growth, Maturity, Decline.</w:t>
      </w:r>
    </w:p>
    <w:p w14:paraId="607E43A8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Implications:</w:t>
      </w:r>
    </w:p>
    <w:p w14:paraId="66F67DF0" w14:textId="77777777" w:rsidR="009C6A9A" w:rsidRPr="00F6141F" w:rsidRDefault="009C6A9A" w:rsidP="00F614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Emerging Markets: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Focus on R&amp;D, innovation, and first-mover advantages.</w:t>
      </w:r>
    </w:p>
    <w:p w14:paraId="194A4E56" w14:textId="77777777" w:rsidR="009C6A9A" w:rsidRPr="00F6141F" w:rsidRDefault="009C6A9A" w:rsidP="00F614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Growth Markets: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Scale operations, invest in marketing, and build brand equity.</w:t>
      </w:r>
    </w:p>
    <w:p w14:paraId="52ABED2B" w14:textId="77777777" w:rsidR="009C6A9A" w:rsidRPr="00F6141F" w:rsidRDefault="009C6A9A" w:rsidP="00F614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Mature Markets: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Optimize efficiency, focus on differentiation, and reduce costs.</w:t>
      </w:r>
    </w:p>
    <w:p w14:paraId="28B65FBE" w14:textId="77777777" w:rsidR="009C6A9A" w:rsidRPr="00F6141F" w:rsidRDefault="009C6A9A" w:rsidP="00F614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Decline Markets: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Decide between harvesting, divestment, or finding niche markets.</w:t>
      </w:r>
    </w:p>
    <w:p w14:paraId="7783BCAF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E2D56E5">
          <v:rect id="_x0000_i1026" style="width:0;height:1.5pt" o:hralign="center" o:hrstd="t" o:hr="t" fillcolor="#a0a0a0" stroked="f"/>
        </w:pict>
      </w:r>
    </w:p>
    <w:p w14:paraId="13EA7C6A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2. Experience Curve</w:t>
      </w:r>
    </w:p>
    <w:p w14:paraId="25B3A548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Experience Curve illustrates how unit costs decline as cumulative production increases, owing to efficiencies gained through learning and scale.</w:t>
      </w:r>
    </w:p>
    <w:p w14:paraId="77D88C86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Concepts:</w:t>
      </w:r>
    </w:p>
    <w:p w14:paraId="4993FAEC" w14:textId="77777777" w:rsidR="009C6A9A" w:rsidRPr="00F6141F" w:rsidRDefault="009C6A9A" w:rsidP="00F614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Learning Effect: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Workers and processes become more efficient over time.</w:t>
      </w:r>
    </w:p>
    <w:p w14:paraId="4D0E0E85" w14:textId="77777777" w:rsidR="009C6A9A" w:rsidRPr="00F6141F" w:rsidRDefault="009C6A9A" w:rsidP="00F614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Economies of Scale: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Cost advantages from increased production.</w:t>
      </w:r>
    </w:p>
    <w:p w14:paraId="2F4FD58A" w14:textId="77777777" w:rsidR="009C6A9A" w:rsidRPr="00F6141F" w:rsidRDefault="009C6A9A" w:rsidP="00F614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Technology Improvements: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Innovation reduces costs.</w:t>
      </w:r>
    </w:p>
    <w:p w14:paraId="24BFE514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Applications:</w:t>
      </w:r>
    </w:p>
    <w:p w14:paraId="70C3F0DA" w14:textId="77777777" w:rsidR="009C6A9A" w:rsidRPr="00F6141F" w:rsidRDefault="009C6A9A" w:rsidP="00F6141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Pricing strategies: Lower costs allow competitive pricing.</w:t>
      </w:r>
    </w:p>
    <w:p w14:paraId="27FBCB11" w14:textId="77777777" w:rsidR="009C6A9A" w:rsidRPr="00F6141F" w:rsidRDefault="009C6A9A" w:rsidP="00F6141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Entry barriers: High experience curve can deter new entrants.</w:t>
      </w:r>
    </w:p>
    <w:p w14:paraId="01AA0600" w14:textId="77777777" w:rsidR="009C6A9A" w:rsidRPr="00F6141F" w:rsidRDefault="009C6A9A" w:rsidP="00F6141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Investment in automation: Accelerates cost reduction.</w:t>
      </w:r>
    </w:p>
    <w:p w14:paraId="72B4D1AA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Formula:</w:t>
      </w:r>
    </w:p>
    <w:p w14:paraId="1DDC5249" w14:textId="77777777" w:rsidR="009C6A9A" w:rsidRPr="00F6141F" w:rsidRDefault="009C6A9A" w:rsidP="00F6141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Cost per unit = Initial cost per unit × (Cumulative </w:t>
      </w:r>
      <w:proofErr w:type="gramStart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output)^</w:t>
      </w:r>
      <w:proofErr w:type="gramEnd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(-b), where </w:t>
      </w: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represents the learning rate.</w:t>
      </w:r>
    </w:p>
    <w:p w14:paraId="284D6C59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0C6B6B6E">
          <v:rect id="_x0000_i1027" style="width:0;height:1.5pt" o:hralign="center" o:hrstd="t" o:hr="t" fillcolor="#a0a0a0" stroked="f"/>
        </w:pict>
      </w:r>
    </w:p>
    <w:p w14:paraId="3D426427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3. Directional Policy Matrix (DPM)</w:t>
      </w:r>
    </w:p>
    <w:p w14:paraId="3709137F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Directional Policy Matrix evaluates business units or products based on their market attractiveness and the organization's competitive strength.</w:t>
      </w:r>
    </w:p>
    <w:p w14:paraId="723DB51E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Axes:</w:t>
      </w:r>
    </w:p>
    <w:p w14:paraId="445A32C3" w14:textId="77777777" w:rsidR="009C6A9A" w:rsidRPr="00F6141F" w:rsidRDefault="009C6A9A" w:rsidP="00F6141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Attractiveness: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Growth rate, size, profitability, etc.</w:t>
      </w:r>
    </w:p>
    <w:p w14:paraId="535A4E36" w14:textId="77777777" w:rsidR="009C6A9A" w:rsidRPr="00F6141F" w:rsidRDefault="009C6A9A" w:rsidP="00F6141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Competitive Strength: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Market share, cost position, brand strength, etc.</w:t>
      </w:r>
    </w:p>
    <w:p w14:paraId="4A77529F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Quadrants:</w:t>
      </w:r>
    </w:p>
    <w:p w14:paraId="5EA971E8" w14:textId="77777777" w:rsidR="009C6A9A" w:rsidRPr="00F6141F" w:rsidRDefault="009C6A9A" w:rsidP="00F6141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Leader (High Attractiveness, Strong Position):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Invest and grow.</w:t>
      </w:r>
    </w:p>
    <w:p w14:paraId="2583AA73" w14:textId="77777777" w:rsidR="009C6A9A" w:rsidRPr="00F6141F" w:rsidRDefault="009C6A9A" w:rsidP="00F6141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Follower (High Attractiveness, Weak Position):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Build capabilities or divest.</w:t>
      </w:r>
    </w:p>
    <w:p w14:paraId="472EB719" w14:textId="77777777" w:rsidR="009C6A9A" w:rsidRPr="00F6141F" w:rsidRDefault="009C6A9A" w:rsidP="00F6141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Niche Player (Low Attractiveness, Strong Position):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Focus on specific segments.</w:t>
      </w:r>
    </w:p>
    <w:p w14:paraId="66331232" w14:textId="77777777" w:rsidR="009C6A9A" w:rsidRPr="00F6141F" w:rsidRDefault="009C6A9A" w:rsidP="00F6141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Laggard (Low Attractiveness, Weak Position):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Harvest or divest.</w:t>
      </w:r>
    </w:p>
    <w:p w14:paraId="504DF961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Implications:</w:t>
      </w:r>
    </w:p>
    <w:p w14:paraId="5A64E9AF" w14:textId="77777777" w:rsidR="009C6A9A" w:rsidRPr="00F6141F" w:rsidRDefault="009C6A9A" w:rsidP="00F6141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Allocate resources to high-potential areas.</w:t>
      </w:r>
    </w:p>
    <w:p w14:paraId="6C65CA8B" w14:textId="77777777" w:rsidR="009C6A9A" w:rsidRPr="00F6141F" w:rsidRDefault="009C6A9A" w:rsidP="00F6141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Exit low-potential businesses.</w:t>
      </w:r>
    </w:p>
    <w:p w14:paraId="18182CE3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0052571">
          <v:rect id="_x0000_i1028" style="width:0;height:1.5pt" o:hralign="center" o:hrstd="t" o:hr="t" fillcolor="#a0a0a0" stroked="f"/>
        </w:pict>
      </w:r>
    </w:p>
    <w:p w14:paraId="727EB3A3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4. Life Cycle Portfolio Matrix</w:t>
      </w:r>
    </w:p>
    <w:p w14:paraId="01BE76BE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Life Cycle Portfolio Matrix integrates product life cycle stages with the market attractiveness of each product or service in a company’s portfolio.</w:t>
      </w:r>
    </w:p>
    <w:p w14:paraId="02DE1AB0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Stages of the Product Life Cycle:</w:t>
      </w:r>
    </w:p>
    <w:p w14:paraId="1DB2863E" w14:textId="77777777" w:rsidR="009C6A9A" w:rsidRPr="00F6141F" w:rsidRDefault="009C6A9A" w:rsidP="00F6141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Introduction: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High investment with uncertain returns.</w:t>
      </w:r>
    </w:p>
    <w:p w14:paraId="64D4BAC1" w14:textId="77777777" w:rsidR="009C6A9A" w:rsidRPr="00F6141F" w:rsidRDefault="009C6A9A" w:rsidP="00F6141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Growth: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Revenue increases; focus on scaling.</w:t>
      </w:r>
    </w:p>
    <w:p w14:paraId="500D6630" w14:textId="77777777" w:rsidR="009C6A9A" w:rsidRPr="00F6141F" w:rsidRDefault="009C6A9A" w:rsidP="00F6141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Maturity: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Market saturates; emphasis on efficiency.</w:t>
      </w:r>
    </w:p>
    <w:p w14:paraId="2D1624BE" w14:textId="77777777" w:rsidR="009C6A9A" w:rsidRPr="00F6141F" w:rsidRDefault="009C6A9A" w:rsidP="00F6141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Decline: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Manage costs and decide on exit strategies.</w:t>
      </w:r>
    </w:p>
    <w:p w14:paraId="458C56AE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Portfolio Management Strategies:</w:t>
      </w:r>
    </w:p>
    <w:p w14:paraId="33E619E4" w14:textId="77777777" w:rsidR="009C6A9A" w:rsidRPr="00F6141F" w:rsidRDefault="009C6A9A" w:rsidP="00F6141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Invest in products in the growth stage with high market potential.</w:t>
      </w:r>
    </w:p>
    <w:p w14:paraId="1D7C2103" w14:textId="77777777" w:rsidR="009C6A9A" w:rsidRPr="00F6141F" w:rsidRDefault="009C6A9A" w:rsidP="00F6141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Maintain mature products with consistent cash flow.</w:t>
      </w:r>
    </w:p>
    <w:p w14:paraId="3E0B3A1F" w14:textId="77777777" w:rsidR="009C6A9A" w:rsidRPr="00F6141F" w:rsidRDefault="009C6A9A" w:rsidP="00F6141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Divest or harvest declining products.</w:t>
      </w:r>
    </w:p>
    <w:p w14:paraId="4FC17C6B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07A28A8">
          <v:rect id="_x0000_i1029" style="width:0;height:1.5pt" o:hralign="center" o:hrstd="t" o:hr="t" fillcolor="#a0a0a0" stroked="f"/>
        </w:pict>
      </w:r>
    </w:p>
    <w:p w14:paraId="4CCF07D0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5. Grand Strategy Selection Matrix</w:t>
      </w:r>
    </w:p>
    <w:p w14:paraId="3D6B8277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The Grand Strategy Selection Matrix is a tool used to identify suitable strategies based on market growth and the competitive position of the firm.</w:t>
      </w:r>
    </w:p>
    <w:p w14:paraId="6078E925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Axes:</w:t>
      </w:r>
    </w:p>
    <w:p w14:paraId="19950916" w14:textId="77777777" w:rsidR="009C6A9A" w:rsidRPr="00F6141F" w:rsidRDefault="009C6A9A" w:rsidP="00F6141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Growth Rate: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High or Low.</w:t>
      </w:r>
    </w:p>
    <w:p w14:paraId="058A3FE7" w14:textId="77777777" w:rsidR="009C6A9A" w:rsidRPr="00F6141F" w:rsidRDefault="009C6A9A" w:rsidP="00F6141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Competitive Position: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Strong or Weak.</w:t>
      </w:r>
    </w:p>
    <w:p w14:paraId="23C22928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Quadrants:</w:t>
      </w:r>
    </w:p>
    <w:p w14:paraId="6AB1ABC3" w14:textId="77777777" w:rsidR="009C6A9A" w:rsidRPr="00F6141F" w:rsidRDefault="009C6A9A" w:rsidP="00F6141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Strong Position, High Growth (Growth Strategies):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Market penetration, product development, diversification.</w:t>
      </w:r>
    </w:p>
    <w:p w14:paraId="3D173593" w14:textId="77777777" w:rsidR="009C6A9A" w:rsidRPr="00F6141F" w:rsidRDefault="009C6A9A" w:rsidP="00F6141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Weak Position, High Growth (Turnaround Strategies):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Focus on improving operations or niche markets.</w:t>
      </w:r>
    </w:p>
    <w:p w14:paraId="3E6F2B29" w14:textId="77777777" w:rsidR="009C6A9A" w:rsidRPr="00F6141F" w:rsidRDefault="009C6A9A" w:rsidP="00F6141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Strong Position, Low Growth (Stability Strategies):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Focus on efficiency, cost leadership.</w:t>
      </w:r>
    </w:p>
    <w:p w14:paraId="49D786CE" w14:textId="77777777" w:rsidR="009C6A9A" w:rsidRPr="00F6141F" w:rsidRDefault="009C6A9A" w:rsidP="00F6141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Weak Position, Low Growth (Defensive Strategies):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Harvesting, divestiture.</w:t>
      </w:r>
    </w:p>
    <w:p w14:paraId="6C5B6E8A" w14:textId="77777777" w:rsidR="009C6A9A" w:rsidRPr="00F6141F" w:rsidRDefault="009C6A9A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Implications:</w:t>
      </w:r>
    </w:p>
    <w:p w14:paraId="0AAC9EF2" w14:textId="77777777" w:rsidR="009C6A9A" w:rsidRPr="00F6141F" w:rsidRDefault="009C6A9A" w:rsidP="00F6141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Align strategies with market conditions and organizational strengths.</w:t>
      </w:r>
    </w:p>
    <w:p w14:paraId="1B5A524E" w14:textId="77777777" w:rsidR="009C6A9A" w:rsidRPr="00F6141F" w:rsidRDefault="009C6A9A" w:rsidP="00F6141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Prioritize resource allocation to high-growth, strong-position quadrants.</w:t>
      </w:r>
    </w:p>
    <w:p w14:paraId="73142A23" w14:textId="77777777" w:rsidR="009C6A9A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9768F3E">
          <v:rect id="_x0000_i1030" style="width:0;height:1.5pt" o:hralign="center" o:hrstd="t" o:hr="t" fillcolor="#a0a0a0" stroked="f"/>
        </w:pict>
      </w:r>
    </w:p>
    <w:p w14:paraId="67A17C92" w14:textId="77777777" w:rsidR="009C6A9A" w:rsidRPr="00F6141F" w:rsidRDefault="009C6A9A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Conclusion</w:t>
      </w:r>
    </w:p>
    <w:p w14:paraId="3934D09F" w14:textId="77777777" w:rsidR="009C6A9A" w:rsidRPr="00F6141F" w:rsidRDefault="009C6A9A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These matrices and models are invaluable for strategic decision-making, helping organizations align their resources, market dynamics, and competitive strengths to achieve sustainable growth and profitability. Each tool offers unique perspectives, and their combined use can provide a comprehensive strategic roadmap.</w:t>
      </w:r>
    </w:p>
    <w:p w14:paraId="66997A52" w14:textId="77777777" w:rsidR="00DA6112" w:rsidRPr="00F6141F" w:rsidRDefault="00DA6112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Study Materials for BCG and GE Matrices with Indian Examples</w:t>
      </w:r>
    </w:p>
    <w:p w14:paraId="28F69421" w14:textId="77777777" w:rsidR="00DA6112" w:rsidRPr="00F6141F" w:rsidRDefault="00DA6112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 Boston Consulting Group (BCG) Matrix</w:t>
      </w:r>
    </w:p>
    <w:p w14:paraId="169D7588" w14:textId="77777777" w:rsidR="00DA6112" w:rsidRPr="00F6141F" w:rsidRDefault="00DA6112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BCG matrix is a portfolio management framework that categorizes business units or products into four quadrants based on </w:t>
      </w: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growth rate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relative market share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1B29715" w14:textId="77777777" w:rsidR="00DA6112" w:rsidRPr="00F6141F" w:rsidRDefault="00DA6112" w:rsidP="00F614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High growth, high market share</w:t>
      </w:r>
    </w:p>
    <w:p w14:paraId="2B5ACEB5" w14:textId="77777777" w:rsidR="00DA6112" w:rsidRPr="00F6141F" w:rsidRDefault="00DA6112" w:rsidP="00F614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Low growth, high market share</w:t>
      </w:r>
    </w:p>
    <w:p w14:paraId="55B8B392" w14:textId="77777777" w:rsidR="00DA6112" w:rsidRPr="00F6141F" w:rsidRDefault="00DA6112" w:rsidP="00F614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High growth, low market share</w:t>
      </w:r>
    </w:p>
    <w:p w14:paraId="29CDBC43" w14:textId="77777777" w:rsidR="00DA6112" w:rsidRPr="00F6141F" w:rsidRDefault="00DA6112" w:rsidP="00F614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Low growth, low market share</w:t>
      </w:r>
    </w:p>
    <w:p w14:paraId="54BC101C" w14:textId="77777777" w:rsidR="00DA6112" w:rsidRPr="00F6141F" w:rsidRDefault="00DA6112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Indian Example – Tata Group</w:t>
      </w:r>
    </w:p>
    <w:p w14:paraId="4DC2DDBC" w14:textId="77777777" w:rsidR="00DA6112" w:rsidRPr="00F6141F" w:rsidRDefault="00DA6112" w:rsidP="00F6141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Tata EVs (e.g., Nexon EV) – high growth in the Indian EV market and increasing market share.</w:t>
      </w:r>
    </w:p>
    <w:p w14:paraId="47C14DC9" w14:textId="77777777" w:rsidR="00DA6112" w:rsidRPr="00F6141F" w:rsidRDefault="00DA6112" w:rsidP="00F6141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Cash Cows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Tata Steel – a mature business with a dominant market position in a stable industry.</w:t>
      </w:r>
    </w:p>
    <w:p w14:paraId="5DD205B7" w14:textId="77777777" w:rsidR="00DA6112" w:rsidRPr="00F6141F" w:rsidRDefault="00DA6112" w:rsidP="00F6141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Tata Neu (super app) – high potential but uncertain market share in the competitive Indian digital services space.</w:t>
      </w:r>
    </w:p>
    <w:p w14:paraId="5D321452" w14:textId="77777777" w:rsidR="00DA6112" w:rsidRPr="00F6141F" w:rsidRDefault="00DA6112" w:rsidP="00F6141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Tata Nano – phased out due to declining sales and lack of market growth.</w:t>
      </w:r>
    </w:p>
    <w:p w14:paraId="65427BA2" w14:textId="77777777" w:rsidR="00DA6112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3E1878C">
          <v:rect id="_x0000_i1031" style="width:0;height:1.5pt" o:hralign="center" o:hrstd="t" o:hr="t" fillcolor="#a0a0a0" stroked="f"/>
        </w:pict>
      </w:r>
    </w:p>
    <w:p w14:paraId="428DDAA1" w14:textId="77777777" w:rsidR="00DA6112" w:rsidRPr="00F6141F" w:rsidRDefault="00DA6112" w:rsidP="00F6141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2. General Electric (GE) Matrix</w:t>
      </w:r>
    </w:p>
    <w:p w14:paraId="57093817" w14:textId="77777777" w:rsidR="00DA6112" w:rsidRPr="00F6141F" w:rsidRDefault="00DA6112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GE matrix evaluates business portfolios based on </w:t>
      </w: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industry attractiveness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(e.g., market size, growth rate, profitability) and </w:t>
      </w: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unit strength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(e.g., market share, brand equity). It places businesses in a 3x3 grid:</w:t>
      </w:r>
    </w:p>
    <w:p w14:paraId="17B9AFE3" w14:textId="77777777" w:rsidR="00DA6112" w:rsidRPr="00F6141F" w:rsidRDefault="00DA6112" w:rsidP="00F6141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Invest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High industry attractiveness, strong business strength</w:t>
      </w:r>
    </w:p>
    <w:p w14:paraId="499D4FA9" w14:textId="77777777" w:rsidR="00DA6112" w:rsidRPr="00F6141F" w:rsidRDefault="00DA6112" w:rsidP="00F6141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Hold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Medium industry attractiveness and/or business strength</w:t>
      </w:r>
    </w:p>
    <w:p w14:paraId="3305E914" w14:textId="77777777" w:rsidR="00DA6112" w:rsidRPr="00F6141F" w:rsidRDefault="00DA6112" w:rsidP="00F6141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Divest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Low industry attractiveness, weak business strength</w:t>
      </w:r>
    </w:p>
    <w:p w14:paraId="04CB6036" w14:textId="77777777" w:rsidR="00DA6112" w:rsidRPr="00F6141F" w:rsidRDefault="00DA6112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Indian Example – ITC</w:t>
      </w:r>
    </w:p>
    <w:p w14:paraId="0936B716" w14:textId="77777777" w:rsidR="00DA6112" w:rsidRPr="00F6141F" w:rsidRDefault="00DA6112" w:rsidP="00F6141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Invest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ITC's FMCG products (e.g., </w:t>
      </w:r>
      <w:proofErr w:type="spellStart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Aashirvaad</w:t>
      </w:r>
      <w:proofErr w:type="spellEnd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Sunfeast</w:t>
      </w:r>
      <w:proofErr w:type="spellEnd"/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 – high industry attractiveness with strong brand positioning.</w:t>
      </w:r>
    </w:p>
    <w:p w14:paraId="131A74B4" w14:textId="77777777" w:rsidR="00DA6112" w:rsidRPr="00F6141F" w:rsidRDefault="00DA6112" w:rsidP="00F6141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Hold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ITC Hotels – medium attractiveness due to cyclicality in the hospitality industry but decent brand strength.</w:t>
      </w:r>
    </w:p>
    <w:p w14:paraId="78FBC938" w14:textId="77777777" w:rsidR="00DA6112" w:rsidRPr="00F6141F" w:rsidRDefault="00DA6112" w:rsidP="00F6141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Divest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ITC's tobacco business in international markets – low attractiveness due to regulatory pressures and declining global demand.</w:t>
      </w:r>
    </w:p>
    <w:p w14:paraId="6E637382" w14:textId="77777777" w:rsidR="00DA6112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E19E073">
          <v:rect id="_x0000_i1032" style="width:0;height:1.5pt" o:hralign="center" o:hrstd="t" o:hr="t" fillcolor="#a0a0a0" stroked="f"/>
        </w:pict>
      </w:r>
    </w:p>
    <w:p w14:paraId="78534054" w14:textId="77777777" w:rsidR="00DA6112" w:rsidRPr="00F6141F" w:rsidRDefault="00DA6112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Differences Between BCG and GE Matrices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2257"/>
        <w:gridCol w:w="4948"/>
      </w:tblGrid>
      <w:tr w:rsidR="00DA6112" w:rsidRPr="00F6141F" w14:paraId="68C2F869" w14:textId="77777777" w:rsidTr="00DA61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D7CB55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6DA0363F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BCG Matrix</w:t>
            </w:r>
          </w:p>
        </w:tc>
        <w:tc>
          <w:tcPr>
            <w:tcW w:w="0" w:type="auto"/>
            <w:vAlign w:val="center"/>
            <w:hideMark/>
          </w:tcPr>
          <w:p w14:paraId="364DFBD5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GE Matrix</w:t>
            </w:r>
          </w:p>
        </w:tc>
      </w:tr>
      <w:tr w:rsidR="00DA6112" w:rsidRPr="00F6141F" w14:paraId="6DEF5514" w14:textId="77777777" w:rsidTr="00DA61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0D2C7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Dimensions</w:t>
            </w:r>
          </w:p>
        </w:tc>
        <w:tc>
          <w:tcPr>
            <w:tcW w:w="0" w:type="auto"/>
            <w:vAlign w:val="center"/>
            <w:hideMark/>
          </w:tcPr>
          <w:p w14:paraId="7262CEB8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Market Growth, Market Share</w:t>
            </w:r>
          </w:p>
        </w:tc>
        <w:tc>
          <w:tcPr>
            <w:tcW w:w="0" w:type="auto"/>
            <w:vAlign w:val="center"/>
            <w:hideMark/>
          </w:tcPr>
          <w:p w14:paraId="53A14C0C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Industry Attractiveness, Business Strength</w:t>
            </w:r>
          </w:p>
        </w:tc>
      </w:tr>
      <w:tr w:rsidR="00DA6112" w:rsidRPr="00F6141F" w14:paraId="2F0CB41B" w14:textId="77777777" w:rsidTr="00DA61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FCF9D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Quadrants/Cells</w:t>
            </w:r>
          </w:p>
        </w:tc>
        <w:tc>
          <w:tcPr>
            <w:tcW w:w="0" w:type="auto"/>
            <w:vAlign w:val="center"/>
            <w:hideMark/>
          </w:tcPr>
          <w:p w14:paraId="3AEC6A84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BF1170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DA6112" w:rsidRPr="00F6141F" w14:paraId="13B523DD" w14:textId="77777777" w:rsidTr="00DA61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62F0D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Complexity</w:t>
            </w:r>
          </w:p>
        </w:tc>
        <w:tc>
          <w:tcPr>
            <w:tcW w:w="0" w:type="auto"/>
            <w:vAlign w:val="center"/>
            <w:hideMark/>
          </w:tcPr>
          <w:p w14:paraId="0C27C4E4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Simpler</w:t>
            </w:r>
          </w:p>
        </w:tc>
        <w:tc>
          <w:tcPr>
            <w:tcW w:w="0" w:type="auto"/>
            <w:vAlign w:val="center"/>
            <w:hideMark/>
          </w:tcPr>
          <w:p w14:paraId="6CB91706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More detailed and nuanced</w:t>
            </w:r>
          </w:p>
        </w:tc>
      </w:tr>
      <w:tr w:rsidR="00DA6112" w:rsidRPr="00F6141F" w14:paraId="019DF687" w14:textId="77777777" w:rsidTr="00DA61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D914E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Data Requirements</w:t>
            </w:r>
          </w:p>
        </w:tc>
        <w:tc>
          <w:tcPr>
            <w:tcW w:w="0" w:type="auto"/>
            <w:vAlign w:val="center"/>
            <w:hideMark/>
          </w:tcPr>
          <w:p w14:paraId="1A2C23C5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Market share and growth rate</w:t>
            </w:r>
          </w:p>
        </w:tc>
        <w:tc>
          <w:tcPr>
            <w:tcW w:w="0" w:type="auto"/>
            <w:vAlign w:val="center"/>
            <w:hideMark/>
          </w:tcPr>
          <w:p w14:paraId="2A650C84" w14:textId="77777777" w:rsidR="00DA6112" w:rsidRPr="00F6141F" w:rsidRDefault="00DA6112" w:rsidP="00F6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1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Broader data, including competitive, market, and operational metrics</w:t>
            </w:r>
          </w:p>
        </w:tc>
      </w:tr>
    </w:tbl>
    <w:p w14:paraId="240752F7" w14:textId="77777777" w:rsidR="00DA6112" w:rsidRPr="00F6141F" w:rsidRDefault="00000000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01C46669">
          <v:rect id="_x0000_i1033" style="width:0;height:1.5pt" o:hralign="center" o:hrstd="t" o:hr="t" fillcolor="#a0a0a0" stroked="f"/>
        </w:pict>
      </w:r>
    </w:p>
    <w:p w14:paraId="480690DE" w14:textId="77777777" w:rsidR="00DA6112" w:rsidRPr="00F6141F" w:rsidRDefault="00DA6112" w:rsidP="00F61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Applications</w:t>
      </w:r>
    </w:p>
    <w:p w14:paraId="3EF07066" w14:textId="77777777" w:rsidR="00DA6112" w:rsidRPr="00F6141F" w:rsidRDefault="00DA6112" w:rsidP="00F6141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Decision-Making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Both tools guide resource allocation, product development, and market focus.</w:t>
      </w:r>
    </w:p>
    <w:p w14:paraId="2914CFD3" w14:textId="77777777" w:rsidR="00DA6112" w:rsidRPr="00F6141F" w:rsidRDefault="00DA6112" w:rsidP="00F6141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Portfolio Optimization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Helps identify where to invest, maintain, or divest.</w:t>
      </w:r>
    </w:p>
    <w:p w14:paraId="1E75922B" w14:textId="77777777" w:rsidR="00DA6112" w:rsidRPr="00F6141F" w:rsidRDefault="00DA6112" w:rsidP="00F6141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Long-Term Growth</w:t>
      </w: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Supports alignment of company goals with market dynamics.</w:t>
      </w:r>
    </w:p>
    <w:p w14:paraId="1F753E29" w14:textId="77777777" w:rsidR="00DA6112" w:rsidRPr="00F6141F" w:rsidRDefault="00DA6112" w:rsidP="00F6141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14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These frameworks, with examples like Tata Group and ITC, illustrate their practical application in the dynamic Indian market context. If needed, I can provide more in-depth examples or create custom case studies!</w:t>
      </w:r>
    </w:p>
    <w:p w14:paraId="297BD1B7" w14:textId="77777777" w:rsidR="00B52A53" w:rsidRPr="00F6141F" w:rsidRDefault="00B52A53" w:rsidP="00F61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2A53" w:rsidRPr="00F6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84A"/>
    <w:multiLevelType w:val="multilevel"/>
    <w:tmpl w:val="CB92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40DC"/>
    <w:multiLevelType w:val="multilevel"/>
    <w:tmpl w:val="E62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F6DE1"/>
    <w:multiLevelType w:val="multilevel"/>
    <w:tmpl w:val="209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F49F6"/>
    <w:multiLevelType w:val="multilevel"/>
    <w:tmpl w:val="2A7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21CEA"/>
    <w:multiLevelType w:val="multilevel"/>
    <w:tmpl w:val="DEE4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42298"/>
    <w:multiLevelType w:val="multilevel"/>
    <w:tmpl w:val="C480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87322"/>
    <w:multiLevelType w:val="multilevel"/>
    <w:tmpl w:val="7F3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25FAA"/>
    <w:multiLevelType w:val="multilevel"/>
    <w:tmpl w:val="7F1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53012"/>
    <w:multiLevelType w:val="multilevel"/>
    <w:tmpl w:val="D72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260DC"/>
    <w:multiLevelType w:val="multilevel"/>
    <w:tmpl w:val="5E26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11FD6"/>
    <w:multiLevelType w:val="multilevel"/>
    <w:tmpl w:val="085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C47FE"/>
    <w:multiLevelType w:val="multilevel"/>
    <w:tmpl w:val="1F0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154B3"/>
    <w:multiLevelType w:val="multilevel"/>
    <w:tmpl w:val="4A62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D6450"/>
    <w:multiLevelType w:val="multilevel"/>
    <w:tmpl w:val="31CC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E7C6C"/>
    <w:multiLevelType w:val="multilevel"/>
    <w:tmpl w:val="43C4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33FF8"/>
    <w:multiLevelType w:val="multilevel"/>
    <w:tmpl w:val="C2B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C5D2B"/>
    <w:multiLevelType w:val="multilevel"/>
    <w:tmpl w:val="240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767F9"/>
    <w:multiLevelType w:val="multilevel"/>
    <w:tmpl w:val="118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377983">
    <w:abstractNumId w:val="16"/>
  </w:num>
  <w:num w:numId="2" w16cid:durableId="261691485">
    <w:abstractNumId w:val="8"/>
  </w:num>
  <w:num w:numId="3" w16cid:durableId="439037122">
    <w:abstractNumId w:val="12"/>
  </w:num>
  <w:num w:numId="4" w16cid:durableId="866986737">
    <w:abstractNumId w:val="10"/>
  </w:num>
  <w:num w:numId="5" w16cid:durableId="748311120">
    <w:abstractNumId w:val="4"/>
  </w:num>
  <w:num w:numId="6" w16cid:durableId="1761025356">
    <w:abstractNumId w:val="9"/>
  </w:num>
  <w:num w:numId="7" w16cid:durableId="1004282860">
    <w:abstractNumId w:val="3"/>
  </w:num>
  <w:num w:numId="8" w16cid:durableId="614597901">
    <w:abstractNumId w:val="11"/>
  </w:num>
  <w:num w:numId="9" w16cid:durableId="1102803779">
    <w:abstractNumId w:val="2"/>
  </w:num>
  <w:num w:numId="10" w16cid:durableId="286275518">
    <w:abstractNumId w:val="5"/>
  </w:num>
  <w:num w:numId="11" w16cid:durableId="540899475">
    <w:abstractNumId w:val="0"/>
  </w:num>
  <w:num w:numId="12" w16cid:durableId="861892379">
    <w:abstractNumId w:val="17"/>
  </w:num>
  <w:num w:numId="13" w16cid:durableId="1319656121">
    <w:abstractNumId w:val="6"/>
  </w:num>
  <w:num w:numId="14" w16cid:durableId="323825909">
    <w:abstractNumId w:val="15"/>
  </w:num>
  <w:num w:numId="15" w16cid:durableId="1790777417">
    <w:abstractNumId w:val="13"/>
  </w:num>
  <w:num w:numId="16" w16cid:durableId="1667783490">
    <w:abstractNumId w:val="14"/>
  </w:num>
  <w:num w:numId="17" w16cid:durableId="92555035">
    <w:abstractNumId w:val="7"/>
  </w:num>
  <w:num w:numId="18" w16cid:durableId="191628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FE"/>
    <w:rsid w:val="00295AFE"/>
    <w:rsid w:val="009868DC"/>
    <w:rsid w:val="009C6A9A"/>
    <w:rsid w:val="00AA70FF"/>
    <w:rsid w:val="00B52A53"/>
    <w:rsid w:val="00B566B6"/>
    <w:rsid w:val="00DA6112"/>
    <w:rsid w:val="00F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35DD"/>
  <w15:chartTrackingRefBased/>
  <w15:docId w15:val="{1B7F4612-F9E6-4CB1-AA6E-B8872D18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C6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A9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6A9A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C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2025-01-03T07:18:00Z</dcterms:created>
  <dcterms:modified xsi:type="dcterms:W3CDTF">2025-01-20T17:59:00Z</dcterms:modified>
</cp:coreProperties>
</file>